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05" w:type="dxa"/>
        <w:jc w:val="center"/>
        <w:tblCellSpacing w:w="15" w:type="dxa"/>
        <w:tblCellMar>
          <w:top w:w="15" w:type="dxa"/>
          <w:left w:w="15" w:type="dxa"/>
          <w:bottom w:w="15" w:type="dxa"/>
          <w:right w:w="15" w:type="dxa"/>
        </w:tblCellMar>
        <w:tblLook w:val="04A0" w:firstRow="1" w:lastRow="0" w:firstColumn="1" w:lastColumn="0" w:noHBand="0" w:noVBand="1"/>
      </w:tblPr>
      <w:tblGrid>
        <w:gridCol w:w="11505"/>
      </w:tblGrid>
      <w:tr w:rsidR="0062477A" w:rsidRPr="0062477A" w:rsidTr="0062477A">
        <w:trPr>
          <w:tblCellSpacing w:w="15" w:type="dxa"/>
          <w:jc w:val="center"/>
        </w:trPr>
        <w:tc>
          <w:tcPr>
            <w:tcW w:w="11415" w:type="dxa"/>
            <w:shd w:val="clear" w:color="auto" w:fill="000000"/>
            <w:vAlign w:val="center"/>
            <w:hideMark/>
          </w:tcPr>
          <w:p w:rsidR="0062477A" w:rsidRPr="0062477A" w:rsidRDefault="0062477A" w:rsidP="0062477A">
            <w:pPr>
              <w:spacing w:after="0" w:line="240" w:lineRule="auto"/>
              <w:rPr>
                <w:rFonts w:ascii="Arial" w:eastAsia="Times New Roman" w:hAnsi="Arial" w:cs="Arial"/>
                <w:color w:val="000000"/>
                <w:sz w:val="18"/>
                <w:szCs w:val="18"/>
                <w:lang w:eastAsia="es-UY"/>
              </w:rPr>
            </w:pPr>
            <w:r>
              <w:rPr>
                <w:rFonts w:ascii="Arial" w:eastAsia="Times New Roman" w:hAnsi="Arial" w:cs="Arial"/>
                <w:noProof/>
                <w:color w:val="006699"/>
                <w:sz w:val="18"/>
                <w:szCs w:val="18"/>
                <w:lang w:eastAsia="es-UY"/>
              </w:rPr>
              <w:drawing>
                <wp:inline distT="0" distB="0" distL="0" distR="0">
                  <wp:extent cx="5524500" cy="323850"/>
                  <wp:effectExtent l="0" t="0" r="0" b="0"/>
                  <wp:docPr id="1" name="Imagen 1" descr="Poder Legislativo / República Oriental del Urugu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er Legislativo / República Oriental del Urugu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3850"/>
                          </a:xfrm>
                          <a:prstGeom prst="rect">
                            <a:avLst/>
                          </a:prstGeom>
                          <a:noFill/>
                          <a:ln>
                            <a:noFill/>
                          </a:ln>
                        </pic:spPr>
                      </pic:pic>
                    </a:graphicData>
                  </a:graphic>
                </wp:inline>
              </w:drawing>
            </w:r>
          </w:p>
        </w:tc>
      </w:tr>
      <w:tr w:rsidR="0062477A" w:rsidRPr="0062477A" w:rsidTr="0062477A">
        <w:trPr>
          <w:tblCellSpacing w:w="15" w:type="dxa"/>
          <w:jc w:val="center"/>
        </w:trPr>
        <w:tc>
          <w:tcPr>
            <w:tcW w:w="0" w:type="auto"/>
            <w:vAlign w:val="center"/>
            <w:hideMark/>
          </w:tcPr>
          <w:p w:rsidR="0062477A" w:rsidRPr="0062477A" w:rsidRDefault="0062477A" w:rsidP="0062477A">
            <w:pPr>
              <w:spacing w:after="0" w:line="240" w:lineRule="auto"/>
              <w:rPr>
                <w:rFonts w:ascii="Arial" w:eastAsia="Times New Roman" w:hAnsi="Arial" w:cs="Arial"/>
                <w:color w:val="000000"/>
                <w:sz w:val="18"/>
                <w:szCs w:val="18"/>
                <w:lang w:eastAsia="es-UY"/>
              </w:rPr>
            </w:pPr>
            <w:r w:rsidRPr="0062477A">
              <w:rPr>
                <w:rFonts w:ascii="Arial" w:eastAsia="Times New Roman" w:hAnsi="Arial" w:cs="Arial"/>
                <w:color w:val="000000"/>
                <w:sz w:val="18"/>
                <w:szCs w:val="18"/>
                <w:lang w:eastAsia="es-UY"/>
              </w:rPr>
              <w:t> </w:t>
            </w:r>
          </w:p>
        </w:tc>
      </w:tr>
    </w:tbl>
    <w:p w:rsidR="0062477A" w:rsidRPr="0062477A" w:rsidRDefault="0062477A" w:rsidP="0062477A">
      <w:pPr>
        <w:spacing w:before="100" w:beforeAutospacing="1" w:after="100" w:afterAutospacing="1" w:line="240" w:lineRule="auto"/>
        <w:jc w:val="right"/>
        <w:outlineLvl w:val="4"/>
        <w:rPr>
          <w:rFonts w:ascii="Verdana" w:eastAsia="Times New Roman" w:hAnsi="Verdana" w:cs="Times New Roman"/>
          <w:b/>
          <w:bCs/>
          <w:i/>
          <w:iCs/>
          <w:color w:val="000000"/>
          <w:sz w:val="16"/>
          <w:szCs w:val="16"/>
          <w:lang w:eastAsia="es-UY"/>
        </w:rPr>
      </w:pPr>
      <w:r w:rsidRPr="0062477A">
        <w:rPr>
          <w:rFonts w:ascii="Verdana" w:eastAsia="Times New Roman" w:hAnsi="Verdana" w:cs="Times New Roman"/>
          <w:b/>
          <w:bCs/>
          <w:i/>
          <w:iCs/>
          <w:color w:val="000000"/>
          <w:sz w:val="16"/>
          <w:szCs w:val="16"/>
          <w:lang w:eastAsia="es-UY"/>
        </w:rPr>
        <w:t>Publicada D.O. 25 oct/018 - Nº30056</w:t>
      </w:r>
    </w:p>
    <w:p w:rsidR="0062477A" w:rsidRPr="0062477A" w:rsidRDefault="0062477A" w:rsidP="0062477A">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62477A">
        <w:rPr>
          <w:rFonts w:ascii="Arial" w:eastAsia="Times New Roman" w:hAnsi="Arial" w:cs="Arial"/>
          <w:b/>
          <w:bCs/>
          <w:color w:val="000000"/>
          <w:sz w:val="24"/>
          <w:szCs w:val="24"/>
          <w:lang w:eastAsia="es-UY"/>
        </w:rPr>
        <w:t>Ley Nº 19.670</w:t>
      </w:r>
    </w:p>
    <w:p w:rsidR="0062477A" w:rsidRPr="0062477A" w:rsidRDefault="0062477A" w:rsidP="0062477A">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62477A">
        <w:rPr>
          <w:rFonts w:ascii="Arial" w:eastAsia="Times New Roman" w:hAnsi="Arial" w:cs="Arial"/>
          <w:b/>
          <w:bCs/>
          <w:color w:val="000000"/>
          <w:sz w:val="24"/>
          <w:szCs w:val="24"/>
          <w:lang w:eastAsia="es-UY"/>
        </w:rPr>
        <w:t>RENDICIÓN DE CUENTAS Y BALANCE DE EJECUCIÓN PRESUPUESTAL</w:t>
      </w:r>
      <w:r w:rsidRPr="0062477A">
        <w:rPr>
          <w:rFonts w:ascii="Arial" w:eastAsia="Times New Roman" w:hAnsi="Arial" w:cs="Arial"/>
          <w:b/>
          <w:bCs/>
          <w:color w:val="000000"/>
          <w:sz w:val="24"/>
          <w:szCs w:val="24"/>
          <w:lang w:eastAsia="es-UY"/>
        </w:rPr>
        <w:br/>
        <w:t>EJERCICIO 2017</w:t>
      </w:r>
    </w:p>
    <w:p w:rsidR="0062477A" w:rsidRPr="0062477A" w:rsidRDefault="0062477A" w:rsidP="0062477A">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62477A">
        <w:rPr>
          <w:rFonts w:ascii="Arial" w:eastAsia="Times New Roman" w:hAnsi="Arial" w:cs="Arial"/>
          <w:b/>
          <w:bCs/>
          <w:color w:val="000000"/>
          <w:sz w:val="18"/>
          <w:szCs w:val="18"/>
          <w:lang w:eastAsia="es-UY"/>
        </w:rPr>
        <w:t xml:space="preserve">A P R O B A C I </w:t>
      </w:r>
      <w:proofErr w:type="spellStart"/>
      <w:r w:rsidRPr="0062477A">
        <w:rPr>
          <w:rFonts w:ascii="Arial" w:eastAsia="Times New Roman" w:hAnsi="Arial" w:cs="Arial"/>
          <w:b/>
          <w:bCs/>
          <w:color w:val="000000"/>
          <w:sz w:val="18"/>
          <w:szCs w:val="18"/>
          <w:lang w:eastAsia="es-UY"/>
        </w:rPr>
        <w:t>Ó</w:t>
      </w:r>
      <w:proofErr w:type="spellEnd"/>
      <w:r w:rsidRPr="0062477A">
        <w:rPr>
          <w:rFonts w:ascii="Arial" w:eastAsia="Times New Roman" w:hAnsi="Arial" w:cs="Arial"/>
          <w:b/>
          <w:bCs/>
          <w:color w:val="000000"/>
          <w:sz w:val="18"/>
          <w:szCs w:val="18"/>
          <w:lang w:eastAsia="es-UY"/>
        </w:rPr>
        <w:t xml:space="preserve"> N</w:t>
      </w:r>
    </w:p>
    <w:p w:rsidR="0062477A" w:rsidRPr="0062477A" w:rsidRDefault="0062477A" w:rsidP="0062477A">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62477A">
        <w:rPr>
          <w:rFonts w:ascii="Arial" w:eastAsia="Times New Roman" w:hAnsi="Arial" w:cs="Arial"/>
          <w:b/>
          <w:bCs/>
          <w:color w:val="000000"/>
          <w:sz w:val="18"/>
          <w:szCs w:val="18"/>
          <w:lang w:eastAsia="es-UY"/>
        </w:rPr>
        <w:t>El Senado y la Cámara de Representantes de la República Oriental del Uruguay, reunidos en Asamblea General,</w:t>
      </w:r>
    </w:p>
    <w:p w:rsidR="0062477A" w:rsidRPr="0062477A" w:rsidRDefault="0062477A" w:rsidP="0062477A">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62477A">
        <w:rPr>
          <w:rFonts w:ascii="Arial" w:eastAsia="Times New Roman" w:hAnsi="Arial" w:cs="Arial"/>
          <w:b/>
          <w:bCs/>
          <w:color w:val="000000"/>
          <w:sz w:val="18"/>
          <w:szCs w:val="18"/>
          <w:lang w:eastAsia="es-UY"/>
        </w:rPr>
        <w:t>DECRETAN</w:t>
      </w:r>
    </w:p>
    <w:p w:rsidR="0062477A" w:rsidRPr="0062477A" w:rsidRDefault="0062477A" w:rsidP="0062477A">
      <w:pPr>
        <w:spacing w:after="0" w:line="240" w:lineRule="auto"/>
        <w:rPr>
          <w:rFonts w:ascii="Times New Roman" w:eastAsia="Times New Roman" w:hAnsi="Times New Roman" w:cs="Times New Roman"/>
          <w:sz w:val="24"/>
          <w:szCs w:val="24"/>
          <w:lang w:eastAsia="es-UY"/>
        </w:rPr>
      </w:pPr>
      <w:r w:rsidRPr="0062477A">
        <w:rPr>
          <w:rFonts w:ascii="Times New Roman" w:eastAsia="Times New Roman" w:hAnsi="Times New Roman" w:cs="Times New Roman"/>
          <w:sz w:val="24"/>
          <w:szCs w:val="24"/>
          <w:lang w:eastAsia="es-UY"/>
        </w:rPr>
        <w:pict>
          <v:rect id="_x0000_i1025" style="width:431.45pt;height:3pt" o:hrpct="0" o:hralign="center" o:hrstd="t" o:hrnoshade="t" o:hr="t" fillcolor="black" stroked="f"/>
        </w:pict>
      </w:r>
    </w:p>
    <w:p w:rsidR="0062477A" w:rsidRDefault="0062477A" w:rsidP="0062477A">
      <w:pPr>
        <w:spacing w:before="100" w:beforeAutospacing="1" w:after="100" w:afterAutospacing="1" w:line="240" w:lineRule="auto"/>
        <w:ind w:firstLine="180"/>
        <w:jc w:val="both"/>
        <w:rPr>
          <w:rFonts w:ascii="Arial" w:eastAsia="Times New Roman" w:hAnsi="Arial" w:cs="Arial"/>
          <w:color w:val="000000"/>
          <w:sz w:val="18"/>
          <w:szCs w:val="18"/>
          <w:lang w:eastAsia="es-UY"/>
        </w:rPr>
      </w:pPr>
      <w:r w:rsidRPr="0062477A">
        <w:rPr>
          <w:rFonts w:ascii="Arial" w:eastAsia="Times New Roman" w:hAnsi="Arial" w:cs="Arial"/>
          <w:color w:val="000000"/>
          <w:sz w:val="18"/>
          <w:szCs w:val="18"/>
          <w:lang w:eastAsia="es-UY"/>
        </w:rPr>
        <w:t>     Sala de Sesiones de la Cámara de Representantes, en Montevideo, a 10 de octubre de 2018.</w:t>
      </w:r>
    </w:p>
    <w:p w:rsidR="0062477A" w:rsidRDefault="0062477A" w:rsidP="0062477A">
      <w:pPr>
        <w:spacing w:before="100" w:beforeAutospacing="1" w:after="100" w:afterAutospacing="1" w:line="240" w:lineRule="auto"/>
        <w:ind w:firstLine="180"/>
        <w:jc w:val="both"/>
        <w:rPr>
          <w:rFonts w:ascii="Arial" w:eastAsia="Times New Roman" w:hAnsi="Arial" w:cs="Arial"/>
          <w:color w:val="000000"/>
          <w:sz w:val="18"/>
          <w:szCs w:val="18"/>
          <w:lang w:eastAsia="es-UY"/>
        </w:rPr>
      </w:pPr>
    </w:p>
    <w:p w:rsidR="0062477A" w:rsidRPr="0062477A" w:rsidRDefault="0062477A" w:rsidP="0062477A">
      <w:pPr>
        <w:spacing w:before="100" w:beforeAutospacing="1" w:after="100" w:afterAutospacing="1" w:line="360" w:lineRule="auto"/>
        <w:ind w:firstLine="180"/>
        <w:jc w:val="both"/>
        <w:rPr>
          <w:rFonts w:ascii="Arial" w:eastAsia="Times New Roman" w:hAnsi="Arial" w:cs="Arial"/>
          <w:color w:val="000000"/>
          <w:sz w:val="24"/>
          <w:szCs w:val="24"/>
          <w:lang w:eastAsia="es-UY"/>
        </w:rPr>
      </w:pPr>
      <w:r w:rsidRPr="0062477A">
        <w:rPr>
          <w:sz w:val="24"/>
          <w:szCs w:val="24"/>
        </w:rPr>
        <w:t xml:space="preserve">Artículo 339.- </w:t>
      </w:r>
      <w:proofErr w:type="spellStart"/>
      <w:r w:rsidRPr="0062477A">
        <w:rPr>
          <w:sz w:val="24"/>
          <w:szCs w:val="24"/>
        </w:rPr>
        <w:t>Sustitúyese</w:t>
      </w:r>
      <w:proofErr w:type="spellEnd"/>
      <w:r w:rsidRPr="0062477A">
        <w:rPr>
          <w:sz w:val="24"/>
          <w:szCs w:val="24"/>
        </w:rPr>
        <w:t xml:space="preserve"> el artículo 339 de la Ley Nº 13.318, de 28 de diciembre de 1964, en la redacción dada por el artículo 2º de la Ley Nº 18.728, de 5 de enero de 2011, por el siguiente: </w:t>
      </w:r>
      <w:r>
        <w:rPr>
          <w:sz w:val="24"/>
          <w:szCs w:val="24"/>
        </w:rPr>
        <w:t xml:space="preserve"> </w:t>
      </w:r>
      <w:bookmarkStart w:id="0" w:name="_GoBack"/>
      <w:bookmarkEnd w:id="0"/>
      <w:r w:rsidRPr="0062477A">
        <w:rPr>
          <w:sz w:val="24"/>
          <w:szCs w:val="24"/>
        </w:rPr>
        <w:t>"ARTÍCULO 339.- El patrimonio que administra la Comisión Honoraria constituye el Fondo de Seguro de Salud creado por el artículo 337 de la presente ley y se integra con los siguientes recursos: A) Con un aporte, de cargo de la Administración de las Obras Sanitarias del Estado (OSE), del 0,625% (cero con seiscientos veinticinco por ciento), de lo que abone a sus funcionarios por concepto de haberes con carácter retributivo, que dicho organismo verterá al Fondo en oportunidad de hacerlos efectivos. B) Los demás aportes que se reciban por concepto de herencias, legados, donaciones o contribuciones especiales. C) Los frutos civiles de sus bienes. D) Los recursos que puedan provenir de la gestión de administración por la Comisión Honoraria Administradora del Fondo de Seguro de Salud para los Funcionarios de OSE (CHASSFOSE), de los centros recreativos o vacacionales de OSE y de CHASSFOSE".</w:t>
      </w:r>
    </w:p>
    <w:p w:rsidR="00D828A8" w:rsidRPr="0062477A" w:rsidRDefault="00D828A8" w:rsidP="0062477A">
      <w:pPr>
        <w:spacing w:line="360" w:lineRule="auto"/>
        <w:rPr>
          <w:sz w:val="24"/>
          <w:szCs w:val="24"/>
        </w:rPr>
      </w:pPr>
    </w:p>
    <w:sectPr w:rsidR="00D828A8" w:rsidRPr="0062477A" w:rsidSect="0062477A">
      <w:pgSz w:w="11907" w:h="16839" w:code="9"/>
      <w:pgMar w:top="1560" w:right="1077" w:bottom="1418" w:left="1701"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7A"/>
    <w:rsid w:val="0062477A"/>
    <w:rsid w:val="0092291B"/>
    <w:rsid w:val="00D82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477A"/>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62477A"/>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62477A"/>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62477A"/>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77A"/>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62477A"/>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62477A"/>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62477A"/>
    <w:rPr>
      <w:rFonts w:ascii="Times New Roman" w:eastAsia="Times New Roman" w:hAnsi="Times New Roman" w:cs="Times New Roman"/>
      <w:b/>
      <w:bCs/>
      <w:sz w:val="20"/>
      <w:szCs w:val="20"/>
      <w:lang w:eastAsia="es-UY"/>
    </w:rPr>
  </w:style>
  <w:style w:type="character" w:styleId="Hipervnculo">
    <w:name w:val="Hyperlink"/>
    <w:basedOn w:val="Fuentedeprrafopredeter"/>
    <w:uiPriority w:val="99"/>
    <w:semiHidden/>
    <w:unhideWhenUsed/>
    <w:rsid w:val="0062477A"/>
    <w:rPr>
      <w:color w:val="0000FF"/>
      <w:u w:val="single"/>
    </w:rPr>
  </w:style>
  <w:style w:type="paragraph" w:styleId="NormalWeb">
    <w:name w:val="Normal (Web)"/>
    <w:basedOn w:val="Normal"/>
    <w:uiPriority w:val="99"/>
    <w:semiHidden/>
    <w:unhideWhenUsed/>
    <w:rsid w:val="0062477A"/>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624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477A"/>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62477A"/>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62477A"/>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62477A"/>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77A"/>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62477A"/>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62477A"/>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62477A"/>
    <w:rPr>
      <w:rFonts w:ascii="Times New Roman" w:eastAsia="Times New Roman" w:hAnsi="Times New Roman" w:cs="Times New Roman"/>
      <w:b/>
      <w:bCs/>
      <w:sz w:val="20"/>
      <w:szCs w:val="20"/>
      <w:lang w:eastAsia="es-UY"/>
    </w:rPr>
  </w:style>
  <w:style w:type="character" w:styleId="Hipervnculo">
    <w:name w:val="Hyperlink"/>
    <w:basedOn w:val="Fuentedeprrafopredeter"/>
    <w:uiPriority w:val="99"/>
    <w:semiHidden/>
    <w:unhideWhenUsed/>
    <w:rsid w:val="0062477A"/>
    <w:rPr>
      <w:color w:val="0000FF"/>
      <w:u w:val="single"/>
    </w:rPr>
  </w:style>
  <w:style w:type="paragraph" w:styleId="NormalWeb">
    <w:name w:val="Normal (Web)"/>
    <w:basedOn w:val="Normal"/>
    <w:uiPriority w:val="99"/>
    <w:semiHidden/>
    <w:unhideWhenUsed/>
    <w:rsid w:val="0062477A"/>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624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egislativo.parlamento.gub.uy/PL/primera.a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Adrian Manion</dc:creator>
  <cp:lastModifiedBy>Cr. Adrian Manion</cp:lastModifiedBy>
  <cp:revision>1</cp:revision>
  <cp:lastPrinted>2021-04-16T20:27:00Z</cp:lastPrinted>
  <dcterms:created xsi:type="dcterms:W3CDTF">2021-04-16T20:21:00Z</dcterms:created>
  <dcterms:modified xsi:type="dcterms:W3CDTF">2021-04-16T20:28:00Z</dcterms:modified>
</cp:coreProperties>
</file>