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19"/>
      </w:tblGrid>
      <w:tr w:rsidR="002D39EC" w:rsidRPr="002D39EC" w:rsidTr="002D39EC">
        <w:trPr>
          <w:tblCellSpacing w:w="15" w:type="dxa"/>
          <w:jc w:val="center"/>
        </w:trPr>
        <w:tc>
          <w:tcPr>
            <w:tcW w:w="5000" w:type="pct"/>
            <w:shd w:val="clear" w:color="auto" w:fill="000000"/>
            <w:hideMark/>
          </w:tcPr>
          <w:bookmarkStart w:id="0" w:name="art69"/>
          <w:p w:rsidR="002D39EC" w:rsidRPr="002D39EC" w:rsidRDefault="002D39EC" w:rsidP="002D39EC">
            <w:pPr>
              <w:spacing w:after="0" w:line="240" w:lineRule="auto"/>
              <w:rPr>
                <w:rFonts w:ascii="Arial" w:eastAsia="Times New Roman" w:hAnsi="Arial" w:cs="Arial"/>
                <w:color w:val="000000"/>
                <w:sz w:val="18"/>
                <w:szCs w:val="18"/>
                <w:lang w:eastAsia="es-UY"/>
              </w:rPr>
            </w:pPr>
            <w:r w:rsidRPr="002D39EC">
              <w:rPr>
                <w:rFonts w:ascii="Arial" w:eastAsia="Times New Roman" w:hAnsi="Arial" w:cs="Arial"/>
                <w:color w:val="000000"/>
                <w:sz w:val="18"/>
                <w:szCs w:val="18"/>
                <w:lang w:eastAsia="es-UY"/>
              </w:rPr>
              <w:fldChar w:fldCharType="begin"/>
            </w:r>
            <w:r w:rsidRPr="002D39EC">
              <w:rPr>
                <w:rFonts w:ascii="Arial" w:eastAsia="Times New Roman" w:hAnsi="Arial" w:cs="Arial"/>
                <w:color w:val="000000"/>
                <w:sz w:val="18"/>
                <w:szCs w:val="18"/>
                <w:lang w:eastAsia="es-UY"/>
              </w:rPr>
              <w:instrText xml:space="preserve"> HYPERLINK "https://legislativo.parlamento.gub.uy/PL/primera.asp" </w:instrText>
            </w:r>
            <w:r w:rsidRPr="002D39EC">
              <w:rPr>
                <w:rFonts w:ascii="Arial" w:eastAsia="Times New Roman" w:hAnsi="Arial" w:cs="Arial"/>
                <w:color w:val="000000"/>
                <w:sz w:val="18"/>
                <w:szCs w:val="18"/>
                <w:lang w:eastAsia="es-UY"/>
              </w:rPr>
              <w:fldChar w:fldCharType="separate"/>
            </w:r>
            <w:r>
              <w:rPr>
                <w:rFonts w:ascii="Arial" w:eastAsia="Times New Roman" w:hAnsi="Arial" w:cs="Arial"/>
                <w:noProof/>
                <w:color w:val="000000"/>
                <w:sz w:val="18"/>
                <w:szCs w:val="18"/>
                <w:lang w:eastAsia="es-UY"/>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524500" cy="323850"/>
                  <wp:effectExtent l="0" t="0" r="0" b="0"/>
                  <wp:wrapSquare wrapText="bothSides"/>
                  <wp:docPr id="2" name="Imagen 2" descr="Poder Legislativo / República Oriental del Urugua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 Legislativo / República Oriental del Urugua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9EC">
              <w:rPr>
                <w:rFonts w:ascii="Arial" w:eastAsia="Times New Roman" w:hAnsi="Arial" w:cs="Arial"/>
                <w:color w:val="000000"/>
                <w:sz w:val="18"/>
                <w:szCs w:val="18"/>
                <w:lang w:eastAsia="es-UY"/>
              </w:rPr>
              <w:fldChar w:fldCharType="end"/>
            </w:r>
          </w:p>
        </w:tc>
      </w:tr>
      <w:tr w:rsidR="002D39EC" w:rsidRPr="002D39EC" w:rsidTr="002D39EC">
        <w:trPr>
          <w:tblCellSpacing w:w="15" w:type="dxa"/>
          <w:jc w:val="center"/>
        </w:trPr>
        <w:tc>
          <w:tcPr>
            <w:tcW w:w="5760" w:type="dxa"/>
            <w:hideMark/>
          </w:tcPr>
          <w:p w:rsidR="002D39EC" w:rsidRPr="002D39EC" w:rsidRDefault="002D39EC" w:rsidP="002D39EC">
            <w:pPr>
              <w:spacing w:after="0" w:line="240" w:lineRule="auto"/>
              <w:rPr>
                <w:rFonts w:ascii="Arial" w:eastAsia="Times New Roman" w:hAnsi="Arial" w:cs="Arial"/>
                <w:color w:val="000000"/>
                <w:sz w:val="18"/>
                <w:szCs w:val="18"/>
                <w:lang w:eastAsia="es-UY"/>
              </w:rPr>
            </w:pPr>
          </w:p>
        </w:tc>
      </w:tr>
    </w:tbl>
    <w:p w:rsidR="002D39EC" w:rsidRPr="002D39EC" w:rsidRDefault="002D39EC" w:rsidP="002D39EC">
      <w:pPr>
        <w:spacing w:before="100" w:beforeAutospacing="1" w:after="100" w:afterAutospacing="1" w:line="240" w:lineRule="auto"/>
        <w:jc w:val="right"/>
        <w:outlineLvl w:val="4"/>
        <w:rPr>
          <w:rFonts w:ascii="Verdana" w:eastAsia="Times New Roman" w:hAnsi="Verdana" w:cs="Times New Roman"/>
          <w:b/>
          <w:bCs/>
          <w:i/>
          <w:iCs/>
          <w:color w:val="000000"/>
          <w:sz w:val="16"/>
          <w:szCs w:val="16"/>
          <w:lang w:eastAsia="es-UY"/>
        </w:rPr>
      </w:pPr>
      <w:r w:rsidRPr="002D39EC">
        <w:rPr>
          <w:rFonts w:ascii="Verdana" w:eastAsia="Times New Roman" w:hAnsi="Verdana" w:cs="Times New Roman"/>
          <w:b/>
          <w:bCs/>
          <w:i/>
          <w:iCs/>
          <w:color w:val="000000"/>
          <w:sz w:val="16"/>
          <w:szCs w:val="16"/>
          <w:lang w:eastAsia="es-UY"/>
        </w:rPr>
        <w:t>Publicada D.O. 13 dic/007 - Nº 27384</w:t>
      </w:r>
    </w:p>
    <w:p w:rsidR="002D39EC" w:rsidRPr="002D39EC" w:rsidRDefault="002D39EC" w:rsidP="002D39EC">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2D39EC">
        <w:rPr>
          <w:rFonts w:ascii="Arial" w:eastAsia="Times New Roman" w:hAnsi="Arial" w:cs="Arial"/>
          <w:b/>
          <w:bCs/>
          <w:color w:val="000000"/>
          <w:sz w:val="24"/>
          <w:szCs w:val="24"/>
          <w:lang w:eastAsia="es-UY"/>
        </w:rPr>
        <w:t>Ley Nº 18.211</w:t>
      </w:r>
    </w:p>
    <w:p w:rsidR="002D39EC" w:rsidRPr="002D39EC" w:rsidRDefault="002D39EC" w:rsidP="002D39EC">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2D39EC">
        <w:rPr>
          <w:rFonts w:ascii="Arial" w:eastAsia="Times New Roman" w:hAnsi="Arial" w:cs="Arial"/>
          <w:b/>
          <w:bCs/>
          <w:color w:val="000000"/>
          <w:sz w:val="24"/>
          <w:szCs w:val="24"/>
          <w:lang w:eastAsia="es-UY"/>
        </w:rPr>
        <w:t>SISTEMA NACIONAL INTEGRADO DE SALUD</w:t>
      </w:r>
    </w:p>
    <w:p w:rsidR="002D39EC" w:rsidRPr="002D39EC" w:rsidRDefault="002D39EC" w:rsidP="002D39EC">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2D39EC">
        <w:rPr>
          <w:rFonts w:ascii="Arial" w:eastAsia="Times New Roman" w:hAnsi="Arial" w:cs="Arial"/>
          <w:b/>
          <w:bCs/>
          <w:color w:val="000000"/>
          <w:sz w:val="18"/>
          <w:szCs w:val="18"/>
          <w:lang w:eastAsia="es-UY"/>
        </w:rPr>
        <w:t>NORMATIVA REFERENTE A SU CREACIÓN, FUNCIONAMIENTO Y FINANCIACIÓN</w:t>
      </w:r>
    </w:p>
    <w:p w:rsidR="002D39EC" w:rsidRPr="002D39EC" w:rsidRDefault="002D39EC" w:rsidP="002D39EC">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2D39EC">
        <w:rPr>
          <w:rFonts w:ascii="Arial" w:eastAsia="Times New Roman" w:hAnsi="Arial" w:cs="Arial"/>
          <w:b/>
          <w:bCs/>
          <w:color w:val="000000"/>
          <w:sz w:val="18"/>
          <w:szCs w:val="18"/>
          <w:lang w:eastAsia="es-UY"/>
        </w:rPr>
        <w:t>El Senado y la Cámara de Representantes de la República Oriental del Uruguay, reunidos en Asamblea General,</w:t>
      </w:r>
    </w:p>
    <w:p w:rsidR="002D39EC" w:rsidRPr="002D39EC" w:rsidRDefault="002D39EC" w:rsidP="002D39EC">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r w:rsidRPr="002D39EC">
        <w:rPr>
          <w:rFonts w:ascii="Arial" w:eastAsia="Times New Roman" w:hAnsi="Arial" w:cs="Arial"/>
          <w:b/>
          <w:bCs/>
          <w:color w:val="000000"/>
          <w:sz w:val="18"/>
          <w:szCs w:val="18"/>
          <w:lang w:eastAsia="es-UY"/>
        </w:rPr>
        <w:t>DECRETAN:</w:t>
      </w:r>
    </w:p>
    <w:p w:rsidR="002D39EC" w:rsidRDefault="002D39EC" w:rsidP="007566EA">
      <w:pPr>
        <w:spacing w:line="360" w:lineRule="auto"/>
        <w:jc w:val="both"/>
        <w:rPr>
          <w:rFonts w:ascii="Arial" w:hAnsi="Arial" w:cs="Arial"/>
          <w:color w:val="000000"/>
          <w:u w:val="single"/>
          <w:shd w:val="clear" w:color="auto" w:fill="FFFFFF"/>
        </w:rPr>
      </w:pPr>
    </w:p>
    <w:p w:rsidR="00D828A8" w:rsidRDefault="007566EA" w:rsidP="007566EA">
      <w:pPr>
        <w:spacing w:line="360" w:lineRule="auto"/>
        <w:jc w:val="both"/>
        <w:rPr>
          <w:rFonts w:ascii="Arial" w:hAnsi="Arial" w:cs="Arial"/>
          <w:color w:val="000000"/>
          <w:sz w:val="18"/>
          <w:szCs w:val="18"/>
          <w:shd w:val="clear" w:color="auto" w:fill="FFFFFF"/>
        </w:rPr>
      </w:pPr>
      <w:bookmarkStart w:id="1" w:name="_GoBack"/>
      <w:bookmarkEnd w:id="1"/>
      <w:r w:rsidRPr="007566EA">
        <w:rPr>
          <w:rFonts w:ascii="Arial" w:hAnsi="Arial" w:cs="Arial"/>
          <w:color w:val="000000"/>
          <w:u w:val="single"/>
          <w:shd w:val="clear" w:color="auto" w:fill="FFFFFF"/>
        </w:rPr>
        <w:t>Artículo 69</w:t>
      </w:r>
      <w:bookmarkEnd w:id="0"/>
      <w:r w:rsidRPr="007566EA">
        <w:rPr>
          <w:rFonts w:ascii="Arial" w:hAnsi="Arial" w:cs="Arial"/>
          <w:color w:val="000000"/>
          <w:shd w:val="clear" w:color="auto" w:fill="FFFFFF"/>
        </w:rPr>
        <w:t>.- Los trabajadores comprendidos en el régimen de Cajas de Auxilio o Seguros Convencionales que funcionen al amparo del artículo 41 del </w:t>
      </w:r>
      <w:hyperlink r:id="rId7" w:history="1">
        <w:r w:rsidRPr="007566EA">
          <w:rPr>
            <w:rStyle w:val="Hipervnculo"/>
            <w:rFonts w:ascii="Arial" w:hAnsi="Arial" w:cs="Arial"/>
            <w:color w:val="006699"/>
            <w:u w:val="none"/>
            <w:shd w:val="clear" w:color="auto" w:fill="FFFFFF"/>
          </w:rPr>
          <w:t>Decreto-Ley Nº 14.407</w:t>
        </w:r>
      </w:hyperlink>
      <w:r w:rsidRPr="007566EA">
        <w:rPr>
          <w:rFonts w:ascii="Arial" w:hAnsi="Arial" w:cs="Arial"/>
          <w:color w:val="000000"/>
          <w:shd w:val="clear" w:color="auto" w:fill="FFFFFF"/>
        </w:rPr>
        <w:t>, de 22 de julio de 1975, así como los afiliados a la Caja Notarial de Seguridad Social a que refieren los literales B), C), D) y E) del artículo 43 de la </w:t>
      </w:r>
      <w:hyperlink r:id="rId8" w:history="1">
        <w:r w:rsidRPr="007566EA">
          <w:rPr>
            <w:rStyle w:val="Hipervnculo"/>
            <w:rFonts w:ascii="Arial" w:hAnsi="Arial" w:cs="Arial"/>
            <w:color w:val="006699"/>
            <w:u w:val="none"/>
            <w:shd w:val="clear" w:color="auto" w:fill="FFFFFF"/>
          </w:rPr>
          <w:t>Ley Nº 17.437</w:t>
        </w:r>
      </w:hyperlink>
      <w:r w:rsidRPr="007566EA">
        <w:rPr>
          <w:rFonts w:ascii="Arial" w:hAnsi="Arial" w:cs="Arial"/>
          <w:color w:val="000000"/>
          <w:shd w:val="clear" w:color="auto" w:fill="FFFFFF"/>
        </w:rPr>
        <w:t>, de 20 de diciembre de 2001, y los amparados en lo dispuesto por los artículos 337 a 342 de la </w:t>
      </w:r>
      <w:hyperlink r:id="rId9" w:history="1">
        <w:r w:rsidRPr="007566EA">
          <w:rPr>
            <w:rStyle w:val="Hipervnculo"/>
            <w:rFonts w:ascii="Arial" w:hAnsi="Arial" w:cs="Arial"/>
            <w:color w:val="006699"/>
            <w:u w:val="none"/>
            <w:shd w:val="clear" w:color="auto" w:fill="FFFFFF"/>
          </w:rPr>
          <w:t>Ley Nº 13.318</w:t>
        </w:r>
      </w:hyperlink>
      <w:r w:rsidRPr="007566EA">
        <w:rPr>
          <w:rFonts w:ascii="Arial" w:hAnsi="Arial" w:cs="Arial"/>
          <w:color w:val="000000"/>
          <w:shd w:val="clear" w:color="auto" w:fill="FFFFFF"/>
        </w:rPr>
        <w:t>, de 28 de diciembre de 1964, y sus modificativas (CHASSFOSE), que aseguren a sus beneficiarios cobertura integral de salud en un nivel no inferior al establecido por la presente ley, se incorporarán al Seguro Nacional de Salud no más allá del 1º de enero de 2011. Hasta el momento de su incorporación al Seguro Nacional de Salud, dichas entidades continuarán recibiendo los aportes y rigiéndose por las disposiciones legales y reglamentarias que les son aplicables</w:t>
      </w:r>
      <w:r>
        <w:rPr>
          <w:rFonts w:ascii="Arial" w:hAnsi="Arial" w:cs="Arial"/>
          <w:color w:val="000000"/>
          <w:sz w:val="18"/>
          <w:szCs w:val="18"/>
          <w:shd w:val="clear" w:color="auto" w:fill="FFFFFF"/>
        </w:rPr>
        <w:t>.</w:t>
      </w:r>
    </w:p>
    <w:p w:rsidR="002D39EC" w:rsidRPr="002D39EC" w:rsidRDefault="002D39EC" w:rsidP="007566EA">
      <w:pPr>
        <w:spacing w:line="360" w:lineRule="auto"/>
        <w:jc w:val="both"/>
        <w:rPr>
          <w:rFonts w:ascii="Arial" w:hAnsi="Arial" w:cs="Arial"/>
          <w:color w:val="000000"/>
          <w:shd w:val="clear" w:color="auto" w:fill="FFFFFF"/>
        </w:rPr>
      </w:pPr>
      <w:proofErr w:type="spellStart"/>
      <w:r w:rsidRPr="002D39EC">
        <w:rPr>
          <w:rFonts w:ascii="Arial" w:hAnsi="Arial" w:cs="Arial"/>
          <w:color w:val="000000"/>
          <w:shd w:val="clear" w:color="auto" w:fill="FFFFFF"/>
        </w:rPr>
        <w:t>Facúltase</w:t>
      </w:r>
      <w:proofErr w:type="spellEnd"/>
      <w:r w:rsidRPr="002D39EC">
        <w:rPr>
          <w:rFonts w:ascii="Arial" w:hAnsi="Arial" w:cs="Arial"/>
          <w:color w:val="000000"/>
          <w:shd w:val="clear" w:color="auto" w:fill="FFFFFF"/>
        </w:rPr>
        <w:t xml:space="preserve"> al Poder Ejecutivo a dar el mismo tratamiento a los trabajadores que cuenten con regímenes acordados con los empleadores privados mediante convenios colectivos o acuerdos similares que hayan estado vigentes al menos desde un año antes de la promulgación de la presente ley.</w:t>
      </w:r>
    </w:p>
    <w:sectPr w:rsidR="002D39EC" w:rsidRPr="002D39EC" w:rsidSect="002D39EC">
      <w:pgSz w:w="11907" w:h="16839" w:code="9"/>
      <w:pgMar w:top="1985" w:right="1077" w:bottom="1418" w:left="1701"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EA"/>
    <w:rsid w:val="002339E3"/>
    <w:rsid w:val="002D39EC"/>
    <w:rsid w:val="007566EA"/>
    <w:rsid w:val="0092291B"/>
    <w:rsid w:val="00B3515E"/>
    <w:rsid w:val="00D828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6EA"/>
  </w:style>
  <w:style w:type="paragraph" w:styleId="Ttulo2">
    <w:name w:val="heading 2"/>
    <w:basedOn w:val="Normal"/>
    <w:link w:val="Ttulo2Car"/>
    <w:uiPriority w:val="9"/>
    <w:qFormat/>
    <w:rsid w:val="002D39EC"/>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2D39EC"/>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2D39EC"/>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2D39EC"/>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66EA"/>
    <w:rPr>
      <w:color w:val="0000FF"/>
      <w:u w:val="single"/>
    </w:rPr>
  </w:style>
  <w:style w:type="character" w:customStyle="1" w:styleId="Ttulo2Car">
    <w:name w:val="Título 2 Car"/>
    <w:basedOn w:val="Fuentedeprrafopredeter"/>
    <w:link w:val="Ttulo2"/>
    <w:uiPriority w:val="9"/>
    <w:rsid w:val="002D39EC"/>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2D39EC"/>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2D39EC"/>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2D39EC"/>
    <w:rPr>
      <w:rFonts w:ascii="Times New Roman" w:eastAsia="Times New Roman" w:hAnsi="Times New Roman" w:cs="Times New Roman"/>
      <w:b/>
      <w:bCs/>
      <w:sz w:val="20"/>
      <w:szCs w:val="20"/>
      <w:lang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6EA"/>
  </w:style>
  <w:style w:type="paragraph" w:styleId="Ttulo2">
    <w:name w:val="heading 2"/>
    <w:basedOn w:val="Normal"/>
    <w:link w:val="Ttulo2Car"/>
    <w:uiPriority w:val="9"/>
    <w:qFormat/>
    <w:rsid w:val="002D39EC"/>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2D39EC"/>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2D39EC"/>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2D39EC"/>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66EA"/>
    <w:rPr>
      <w:color w:val="0000FF"/>
      <w:u w:val="single"/>
    </w:rPr>
  </w:style>
  <w:style w:type="character" w:customStyle="1" w:styleId="Ttulo2Car">
    <w:name w:val="Título 2 Car"/>
    <w:basedOn w:val="Fuentedeprrafopredeter"/>
    <w:link w:val="Ttulo2"/>
    <w:uiPriority w:val="9"/>
    <w:rsid w:val="002D39EC"/>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2D39EC"/>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2D39EC"/>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2D39EC"/>
    <w:rPr>
      <w:rFonts w:ascii="Times New Roman" w:eastAsia="Times New Roman" w:hAnsi="Times New Roman" w:cs="Times New Roman"/>
      <w:b/>
      <w:bCs/>
      <w:sz w:val="20"/>
      <w:szCs w:val="20"/>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5259">
      <w:bodyDiv w:val="1"/>
      <w:marLeft w:val="0"/>
      <w:marRight w:val="0"/>
      <w:marTop w:val="0"/>
      <w:marBottom w:val="0"/>
      <w:divBdr>
        <w:top w:val="none" w:sz="0" w:space="0" w:color="auto"/>
        <w:left w:val="none" w:sz="0" w:space="0" w:color="auto"/>
        <w:bottom w:val="none" w:sz="0" w:space="0" w:color="auto"/>
        <w:right w:val="none" w:sz="0" w:space="0" w:color="auto"/>
      </w:divBdr>
    </w:div>
    <w:div w:id="10261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vo.parlamento.gub.uy/temporales/aresuelveref.aspx?LEY,17437/art43/HTM" TargetMode="External"/><Relationship Id="rId3" Type="http://schemas.openxmlformats.org/officeDocument/2006/relationships/settings" Target="settings.xml"/><Relationship Id="rId7" Type="http://schemas.openxmlformats.org/officeDocument/2006/relationships/hyperlink" Target="https://legislativo.parlamento.gub.uy/temporales/aresuelveref.aspx?LEY,14407/art4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legislativo.parlamento.gub.uy/PL/primera.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islativo.parlamento.gub.uy/temporales/aresuelveref.aspx?LEY,13318/art33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 Adrian Manion</dc:creator>
  <cp:lastModifiedBy>Cr. Adrian Manion</cp:lastModifiedBy>
  <cp:revision>2</cp:revision>
  <cp:lastPrinted>2021-04-16T20:18:00Z</cp:lastPrinted>
  <dcterms:created xsi:type="dcterms:W3CDTF">2021-04-16T20:31:00Z</dcterms:created>
  <dcterms:modified xsi:type="dcterms:W3CDTF">2021-04-16T20:31:00Z</dcterms:modified>
</cp:coreProperties>
</file>